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AF" w:rsidRPr="00077B7B" w:rsidRDefault="000251AF" w:rsidP="000251AF">
      <w:pPr>
        <w:jc w:val="both"/>
        <w:rPr>
          <w:rFonts w:ascii="Arial" w:hAnsi="Arial" w:cs="Arial"/>
          <w:lang w:val="en-US"/>
        </w:rPr>
      </w:pPr>
    </w:p>
    <w:tbl>
      <w:tblPr>
        <w:tblStyle w:val="TableGrid"/>
        <w:tblW w:w="0" w:type="auto"/>
        <w:tblLook w:val="04A0" w:firstRow="1" w:lastRow="0" w:firstColumn="1" w:lastColumn="0" w:noHBand="0" w:noVBand="1"/>
      </w:tblPr>
      <w:tblGrid>
        <w:gridCol w:w="9242"/>
      </w:tblGrid>
      <w:tr w:rsidR="000251AF" w:rsidTr="00DE6BD2">
        <w:tc>
          <w:tcPr>
            <w:tcW w:w="9242" w:type="dxa"/>
          </w:tcPr>
          <w:p w:rsidR="000251AF" w:rsidRPr="00306176" w:rsidRDefault="000251AF" w:rsidP="00DE6BD2">
            <w:pPr>
              <w:jc w:val="center"/>
              <w:rPr>
                <w:rFonts w:ascii="Arial" w:hAnsi="Arial" w:cs="Arial"/>
                <w:b/>
                <w:lang w:val="en-US"/>
              </w:rPr>
            </w:pPr>
            <w:r w:rsidRPr="00306176">
              <w:rPr>
                <w:rFonts w:ascii="Arial" w:hAnsi="Arial" w:cs="Arial"/>
                <w:b/>
                <w:sz w:val="24"/>
                <w:lang w:val="en-US"/>
              </w:rPr>
              <w:t>SOP</w:t>
            </w:r>
          </w:p>
        </w:tc>
      </w:tr>
      <w:tr w:rsidR="000251AF" w:rsidTr="00DE6BD2">
        <w:tc>
          <w:tcPr>
            <w:tcW w:w="9242" w:type="dxa"/>
          </w:tcPr>
          <w:p w:rsidR="000251AF" w:rsidRPr="00254B8B" w:rsidRDefault="000251AF" w:rsidP="000251AF">
            <w:pPr>
              <w:pStyle w:val="xmsolistparagraph"/>
              <w:numPr>
                <w:ilvl w:val="0"/>
                <w:numId w:val="1"/>
              </w:numPr>
              <w:shd w:val="clear" w:color="auto" w:fill="FFFFFF"/>
              <w:spacing w:before="0" w:beforeAutospacing="0" w:after="0" w:afterAutospacing="0"/>
              <w:jc w:val="both"/>
              <w:rPr>
                <w:rFonts w:ascii="Arial" w:hAnsi="Arial" w:cs="Arial"/>
                <w:color w:val="201F1E"/>
                <w:sz w:val="22"/>
                <w:szCs w:val="22"/>
              </w:rPr>
            </w:pPr>
            <w:r w:rsidRPr="00254B8B">
              <w:rPr>
                <w:rFonts w:ascii="Arial" w:hAnsi="Arial" w:cs="Arial"/>
                <w:color w:val="201F1E"/>
                <w:sz w:val="22"/>
                <w:szCs w:val="22"/>
                <w:bdr w:val="none" w:sz="0" w:space="0" w:color="auto" w:frame="1"/>
              </w:rPr>
              <w:t>SLMA shall facilitate Trading of Standard Corporate Rupee Term Loans in Phase 1 with a minimum siz</w:t>
            </w:r>
            <w:r>
              <w:rPr>
                <w:rFonts w:ascii="Arial" w:hAnsi="Arial" w:cs="Arial"/>
                <w:color w:val="201F1E"/>
                <w:sz w:val="22"/>
                <w:szCs w:val="22"/>
                <w:bdr w:val="none" w:sz="0" w:space="0" w:color="auto" w:frame="1"/>
              </w:rPr>
              <w:t>e of transaction limited to Rs.</w:t>
            </w:r>
            <w:r w:rsidRPr="00254B8B">
              <w:rPr>
                <w:rFonts w:ascii="Arial" w:hAnsi="Arial" w:cs="Arial"/>
                <w:color w:val="201F1E"/>
                <w:sz w:val="22"/>
                <w:szCs w:val="22"/>
                <w:bdr w:val="none" w:sz="0" w:space="0" w:color="auto" w:frame="1"/>
              </w:rPr>
              <w:t xml:space="preserve">25 </w:t>
            </w:r>
            <w:proofErr w:type="spellStart"/>
            <w:r>
              <w:rPr>
                <w:rFonts w:ascii="Arial" w:hAnsi="Arial" w:cs="Arial"/>
                <w:color w:val="201F1E"/>
                <w:sz w:val="22"/>
                <w:szCs w:val="22"/>
                <w:bdr w:val="none" w:sz="0" w:space="0" w:color="auto" w:frame="1"/>
              </w:rPr>
              <w:t>C</w:t>
            </w:r>
            <w:r w:rsidRPr="00254B8B">
              <w:rPr>
                <w:rFonts w:ascii="Arial" w:hAnsi="Arial" w:cs="Arial"/>
                <w:color w:val="201F1E"/>
                <w:sz w:val="22"/>
                <w:szCs w:val="22"/>
                <w:bdr w:val="none" w:sz="0" w:space="0" w:color="auto" w:frame="1"/>
              </w:rPr>
              <w:t>r</w:t>
            </w:r>
            <w:r>
              <w:rPr>
                <w:rFonts w:ascii="Arial" w:hAnsi="Arial" w:cs="Arial"/>
                <w:color w:val="201F1E"/>
                <w:sz w:val="22"/>
                <w:szCs w:val="22"/>
                <w:bdr w:val="none" w:sz="0" w:space="0" w:color="auto" w:frame="1"/>
              </w:rPr>
              <w:t>ore</w:t>
            </w:r>
            <w:r w:rsidRPr="00254B8B">
              <w:rPr>
                <w:rFonts w:ascii="Arial" w:hAnsi="Arial" w:cs="Arial"/>
                <w:color w:val="201F1E"/>
                <w:sz w:val="22"/>
                <w:szCs w:val="22"/>
                <w:bdr w:val="none" w:sz="0" w:space="0" w:color="auto" w:frame="1"/>
              </w:rPr>
              <w:t>s</w:t>
            </w:r>
            <w:proofErr w:type="spellEnd"/>
            <w:r w:rsidRPr="00254B8B">
              <w:rPr>
                <w:rFonts w:ascii="Arial" w:hAnsi="Arial" w:cs="Arial"/>
                <w:color w:val="201F1E"/>
                <w:sz w:val="22"/>
                <w:szCs w:val="22"/>
                <w:bdr w:val="none" w:sz="0" w:space="0" w:color="auto" w:frame="1"/>
              </w:rPr>
              <w:t>, which will be subject to review from time to time depending upon the interest shown and feedback received from the participants.</w:t>
            </w:r>
          </w:p>
          <w:p w:rsidR="000251AF" w:rsidRPr="00254B8B" w:rsidRDefault="000251AF" w:rsidP="00DE6BD2">
            <w:pPr>
              <w:pStyle w:val="xmsolistparagraph"/>
              <w:shd w:val="clear" w:color="auto" w:fill="FFFFFF"/>
              <w:spacing w:before="0" w:beforeAutospacing="0" w:after="0" w:afterAutospacing="0"/>
              <w:ind w:left="720"/>
              <w:jc w:val="both"/>
              <w:rPr>
                <w:rFonts w:ascii="Arial" w:hAnsi="Arial" w:cs="Arial"/>
                <w:color w:val="201F1E"/>
                <w:sz w:val="22"/>
                <w:szCs w:val="22"/>
              </w:rPr>
            </w:pPr>
          </w:p>
          <w:p w:rsidR="000251AF" w:rsidRPr="00254B8B" w:rsidRDefault="000251AF" w:rsidP="000251AF">
            <w:pPr>
              <w:pStyle w:val="xmsolistparagraph"/>
              <w:numPr>
                <w:ilvl w:val="0"/>
                <w:numId w:val="1"/>
              </w:numPr>
              <w:shd w:val="clear" w:color="auto" w:fill="FFFFFF"/>
              <w:spacing w:before="0" w:beforeAutospacing="0" w:after="0" w:afterAutospacing="0"/>
              <w:jc w:val="both"/>
              <w:rPr>
                <w:rFonts w:ascii="Arial" w:hAnsi="Arial" w:cs="Arial"/>
                <w:color w:val="201F1E"/>
                <w:sz w:val="22"/>
                <w:szCs w:val="22"/>
              </w:rPr>
            </w:pPr>
            <w:r w:rsidRPr="00254B8B">
              <w:rPr>
                <w:rFonts w:ascii="Arial" w:hAnsi="Arial" w:cs="Arial"/>
                <w:color w:val="201F1E"/>
                <w:sz w:val="22"/>
                <w:szCs w:val="22"/>
                <w:bdr w:val="none" w:sz="0" w:space="0" w:color="auto" w:frame="1"/>
              </w:rPr>
              <w:t>Members of SLMA viz. Banks/ NBFCs/ Financial Institutions /other entities (Member Institutions) would only be allowed to do secondary transactions under aegis of SLMA.</w:t>
            </w:r>
          </w:p>
          <w:p w:rsidR="000251AF" w:rsidRPr="00254B8B" w:rsidRDefault="000251AF" w:rsidP="00DE6BD2">
            <w:pPr>
              <w:pStyle w:val="xmsolistparagraph"/>
              <w:shd w:val="clear" w:color="auto" w:fill="FFFFFF"/>
              <w:spacing w:before="0" w:beforeAutospacing="0" w:after="0" w:afterAutospacing="0"/>
              <w:jc w:val="both"/>
              <w:rPr>
                <w:rFonts w:ascii="Arial" w:hAnsi="Arial" w:cs="Arial"/>
                <w:color w:val="201F1E"/>
                <w:sz w:val="22"/>
                <w:szCs w:val="22"/>
              </w:rPr>
            </w:pPr>
          </w:p>
          <w:p w:rsidR="000251AF" w:rsidRPr="00E66114" w:rsidRDefault="000251AF" w:rsidP="000251AF">
            <w:pPr>
              <w:pStyle w:val="xmsolistparagraph"/>
              <w:numPr>
                <w:ilvl w:val="0"/>
                <w:numId w:val="1"/>
              </w:numPr>
              <w:shd w:val="clear" w:color="auto" w:fill="FFFFFF"/>
              <w:spacing w:before="0" w:beforeAutospacing="0" w:after="0" w:afterAutospacing="0"/>
              <w:jc w:val="both"/>
              <w:rPr>
                <w:rFonts w:ascii="Arial" w:hAnsi="Arial" w:cs="Arial"/>
                <w:color w:val="201F1E"/>
                <w:sz w:val="22"/>
                <w:szCs w:val="22"/>
              </w:rPr>
            </w:pPr>
            <w:r w:rsidRPr="00F47D8C">
              <w:rPr>
                <w:rFonts w:ascii="Arial" w:hAnsi="Arial" w:cs="Arial"/>
                <w:color w:val="201F1E"/>
                <w:sz w:val="22"/>
                <w:szCs w:val="22"/>
                <w:bdr w:val="none" w:sz="0" w:space="0" w:color="auto" w:frame="1"/>
              </w:rPr>
              <w:t>Member Institutions would need to certify that they are following extant RBI guidelines pertaining to sale of corporate loans with respect to a Minimum Holding Period (MHP), if applicable.</w:t>
            </w:r>
          </w:p>
          <w:p w:rsidR="000251AF" w:rsidRPr="00E66114" w:rsidRDefault="000251AF" w:rsidP="00DE6BD2">
            <w:pPr>
              <w:pStyle w:val="xmsolistparagraph"/>
              <w:shd w:val="clear" w:color="auto" w:fill="FFFFFF"/>
              <w:spacing w:before="0" w:beforeAutospacing="0" w:after="0" w:afterAutospacing="0"/>
              <w:jc w:val="both"/>
              <w:rPr>
                <w:rFonts w:ascii="Arial" w:hAnsi="Arial" w:cs="Arial"/>
                <w:color w:val="201F1E"/>
                <w:sz w:val="22"/>
                <w:szCs w:val="22"/>
              </w:rPr>
            </w:pPr>
          </w:p>
          <w:p w:rsidR="000251AF" w:rsidRPr="00E66114" w:rsidRDefault="000251AF" w:rsidP="000251AF">
            <w:pPr>
              <w:pStyle w:val="xmsolistparagraph"/>
              <w:numPr>
                <w:ilvl w:val="0"/>
                <w:numId w:val="1"/>
              </w:numPr>
              <w:shd w:val="clear" w:color="auto" w:fill="FFFFFF"/>
              <w:spacing w:before="0" w:beforeAutospacing="0" w:after="0" w:afterAutospacing="0"/>
              <w:jc w:val="both"/>
              <w:rPr>
                <w:rFonts w:ascii="Arial" w:hAnsi="Arial" w:cs="Arial"/>
                <w:color w:val="201F1E"/>
                <w:sz w:val="22"/>
                <w:szCs w:val="22"/>
              </w:rPr>
            </w:pPr>
            <w:r w:rsidRPr="00254B8B">
              <w:rPr>
                <w:rFonts w:ascii="Arial" w:hAnsi="Arial" w:cs="Arial"/>
                <w:color w:val="201F1E"/>
                <w:sz w:val="22"/>
                <w:szCs w:val="22"/>
                <w:bdr w:val="none" w:sz="0" w:space="0" w:color="auto" w:frame="1"/>
              </w:rPr>
              <w:t>Member Institutions would need to upfront disclose whether the transaction would require borrower’s approval.</w:t>
            </w:r>
          </w:p>
          <w:p w:rsidR="000251AF" w:rsidRPr="00E66114" w:rsidRDefault="000251AF" w:rsidP="00DE6BD2">
            <w:pPr>
              <w:pStyle w:val="xmsolistparagraph"/>
              <w:shd w:val="clear" w:color="auto" w:fill="FFFFFF"/>
              <w:spacing w:before="0" w:beforeAutospacing="0" w:after="0" w:afterAutospacing="0"/>
              <w:ind w:left="720"/>
              <w:jc w:val="both"/>
              <w:rPr>
                <w:rFonts w:ascii="Arial" w:hAnsi="Arial" w:cs="Arial"/>
                <w:color w:val="201F1E"/>
                <w:sz w:val="22"/>
                <w:szCs w:val="22"/>
              </w:rPr>
            </w:pPr>
          </w:p>
          <w:p w:rsidR="000251AF" w:rsidRDefault="000251AF" w:rsidP="000251AF">
            <w:pPr>
              <w:pStyle w:val="xmsolistparagraph"/>
              <w:numPr>
                <w:ilvl w:val="0"/>
                <w:numId w:val="1"/>
              </w:numPr>
              <w:shd w:val="clear" w:color="auto" w:fill="FFFFFF"/>
              <w:spacing w:before="0" w:beforeAutospacing="0" w:after="0" w:afterAutospacing="0"/>
              <w:jc w:val="both"/>
              <w:rPr>
                <w:rFonts w:ascii="Arial" w:hAnsi="Arial" w:cs="Arial"/>
                <w:color w:val="201F1E"/>
                <w:sz w:val="22"/>
                <w:szCs w:val="22"/>
                <w:bdr w:val="none" w:sz="0" w:space="0" w:color="auto" w:frame="1"/>
              </w:rPr>
            </w:pPr>
            <w:r w:rsidRPr="00E66114">
              <w:rPr>
                <w:rFonts w:ascii="Arial" w:hAnsi="Arial" w:cs="Arial"/>
                <w:color w:val="201F1E"/>
                <w:sz w:val="22"/>
                <w:szCs w:val="22"/>
                <w:bdr w:val="none" w:sz="0" w:space="0" w:color="auto" w:frame="1"/>
              </w:rPr>
              <w:t>Identification of counterparties - both buyer &amp; seller must be aware of any restrictions in the underlying facilit</w:t>
            </w:r>
            <w:r>
              <w:rPr>
                <w:rFonts w:ascii="Arial" w:hAnsi="Arial" w:cs="Arial"/>
                <w:color w:val="201F1E"/>
                <w:sz w:val="22"/>
                <w:szCs w:val="22"/>
                <w:bdr w:val="none" w:sz="0" w:space="0" w:color="auto" w:frame="1"/>
              </w:rPr>
              <w:t xml:space="preserve">y agreement, w.r.t to </w:t>
            </w:r>
            <w:proofErr w:type="gramStart"/>
            <w:r>
              <w:rPr>
                <w:rFonts w:ascii="Arial" w:hAnsi="Arial" w:cs="Arial"/>
                <w:color w:val="201F1E"/>
                <w:sz w:val="22"/>
                <w:szCs w:val="22"/>
                <w:bdr w:val="none" w:sz="0" w:space="0" w:color="auto" w:frame="1"/>
              </w:rPr>
              <w:t>whom</w:t>
            </w:r>
            <w:proofErr w:type="gramEnd"/>
            <w:r>
              <w:rPr>
                <w:rFonts w:ascii="Arial" w:hAnsi="Arial" w:cs="Arial"/>
                <w:color w:val="201F1E"/>
                <w:sz w:val="22"/>
                <w:szCs w:val="22"/>
                <w:bdr w:val="none" w:sz="0" w:space="0" w:color="auto" w:frame="1"/>
              </w:rPr>
              <w:t xml:space="preserve"> loan</w:t>
            </w:r>
            <w:r w:rsidRPr="00E66114">
              <w:rPr>
                <w:rFonts w:ascii="Arial" w:hAnsi="Arial" w:cs="Arial"/>
                <w:color w:val="201F1E"/>
                <w:sz w:val="22"/>
                <w:szCs w:val="22"/>
                <w:bdr w:val="none" w:sz="0" w:space="0" w:color="auto" w:frame="1"/>
              </w:rPr>
              <w:t xml:space="preserve"> can be transferred, no restrictions on transfer, no restriction regarding a minimum amount a lender must transfer etc.</w:t>
            </w:r>
          </w:p>
          <w:p w:rsidR="000251AF" w:rsidRPr="00E66114" w:rsidRDefault="000251AF" w:rsidP="00DE6BD2">
            <w:pPr>
              <w:pStyle w:val="xmsolistparagraph"/>
              <w:shd w:val="clear" w:color="auto" w:fill="FFFFFF"/>
              <w:spacing w:before="0" w:beforeAutospacing="0" w:after="0" w:afterAutospacing="0"/>
              <w:jc w:val="both"/>
              <w:rPr>
                <w:rFonts w:ascii="Arial" w:hAnsi="Arial" w:cs="Arial"/>
                <w:color w:val="201F1E"/>
                <w:sz w:val="22"/>
                <w:szCs w:val="22"/>
                <w:bdr w:val="none" w:sz="0" w:space="0" w:color="auto" w:frame="1"/>
              </w:rPr>
            </w:pPr>
          </w:p>
          <w:p w:rsidR="000251AF" w:rsidRDefault="000251AF" w:rsidP="000251AF">
            <w:pPr>
              <w:pStyle w:val="xmsolistparagraph"/>
              <w:numPr>
                <w:ilvl w:val="0"/>
                <w:numId w:val="1"/>
              </w:numPr>
              <w:shd w:val="clear" w:color="auto" w:fill="FFFFFF"/>
              <w:spacing w:before="0" w:beforeAutospacing="0" w:after="0" w:afterAutospacing="0"/>
              <w:jc w:val="both"/>
              <w:rPr>
                <w:rFonts w:ascii="Arial" w:hAnsi="Arial" w:cs="Arial"/>
                <w:color w:val="201F1E"/>
                <w:sz w:val="22"/>
                <w:szCs w:val="22"/>
                <w:bdr w:val="none" w:sz="0" w:space="0" w:color="auto" w:frame="1"/>
              </w:rPr>
            </w:pPr>
            <w:r w:rsidRPr="00E66114">
              <w:rPr>
                <w:rFonts w:ascii="Arial" w:hAnsi="Arial" w:cs="Arial"/>
                <w:color w:val="201F1E"/>
                <w:sz w:val="22"/>
                <w:szCs w:val="22"/>
                <w:bdr w:val="none" w:sz="0" w:space="0" w:color="auto" w:frame="1"/>
              </w:rPr>
              <w:t xml:space="preserve">Post identification of counterparties confidentiality documents / NDA needs to be executed for prospective buyer to undertake due diligence. </w:t>
            </w:r>
          </w:p>
          <w:p w:rsidR="000251AF" w:rsidRDefault="000251AF" w:rsidP="00DE6BD2">
            <w:pPr>
              <w:pStyle w:val="ListParagraph"/>
              <w:rPr>
                <w:rFonts w:ascii="Arial" w:hAnsi="Arial" w:cs="Arial"/>
                <w:color w:val="201F1E"/>
                <w:bdr w:val="none" w:sz="0" w:space="0" w:color="auto" w:frame="1"/>
              </w:rPr>
            </w:pPr>
          </w:p>
          <w:p w:rsidR="000251AF" w:rsidRPr="00E66114" w:rsidRDefault="000251AF" w:rsidP="000251AF">
            <w:pPr>
              <w:pStyle w:val="xmsolistparagraph"/>
              <w:numPr>
                <w:ilvl w:val="0"/>
                <w:numId w:val="1"/>
              </w:numPr>
              <w:shd w:val="clear" w:color="auto" w:fill="FFFFFF"/>
              <w:spacing w:before="0" w:beforeAutospacing="0" w:after="0" w:afterAutospacing="0"/>
              <w:jc w:val="both"/>
              <w:rPr>
                <w:rFonts w:ascii="Arial" w:hAnsi="Arial" w:cs="Arial"/>
                <w:color w:val="201F1E"/>
                <w:sz w:val="22"/>
                <w:szCs w:val="22"/>
                <w:bdr w:val="none" w:sz="0" w:space="0" w:color="auto" w:frame="1"/>
              </w:rPr>
            </w:pPr>
            <w:r w:rsidRPr="00E66114">
              <w:rPr>
                <w:rFonts w:ascii="Arial" w:hAnsi="Arial" w:cs="Arial"/>
                <w:color w:val="201F1E"/>
                <w:sz w:val="22"/>
                <w:szCs w:val="22"/>
                <w:bdr w:val="none" w:sz="0" w:space="0" w:color="auto" w:frame="1"/>
              </w:rPr>
              <w:t xml:space="preserve">A prospective buyer is expected to have carried out all necessary due diligence prior to the trade date and any relevant “KYC" checks </w:t>
            </w:r>
            <w:r>
              <w:rPr>
                <w:rFonts w:ascii="Arial" w:hAnsi="Arial" w:cs="Arial"/>
                <w:color w:val="201F1E"/>
                <w:sz w:val="22"/>
                <w:szCs w:val="22"/>
                <w:bdr w:val="none" w:sz="0" w:space="0" w:color="auto" w:frame="1"/>
              </w:rPr>
              <w:t xml:space="preserve">after execution of </w:t>
            </w:r>
            <w:r w:rsidRPr="00E66114">
              <w:rPr>
                <w:rFonts w:ascii="Arial" w:hAnsi="Arial" w:cs="Arial"/>
                <w:color w:val="201F1E"/>
                <w:sz w:val="22"/>
                <w:szCs w:val="22"/>
                <w:bdr w:val="none" w:sz="0" w:space="0" w:color="auto" w:frame="1"/>
              </w:rPr>
              <w:t>NDA. Seller can provide the buyer</w:t>
            </w:r>
            <w:r>
              <w:rPr>
                <w:rFonts w:ascii="Arial" w:hAnsi="Arial" w:cs="Arial"/>
                <w:color w:val="201F1E"/>
                <w:sz w:val="22"/>
                <w:szCs w:val="22"/>
                <w:bdr w:val="none" w:sz="0" w:space="0" w:color="auto" w:frame="1"/>
              </w:rPr>
              <w:t xml:space="preserve"> with the necessary information</w:t>
            </w:r>
            <w:r w:rsidRPr="00E66114">
              <w:rPr>
                <w:rFonts w:ascii="Arial" w:hAnsi="Arial" w:cs="Arial"/>
                <w:color w:val="201F1E"/>
                <w:sz w:val="22"/>
                <w:szCs w:val="22"/>
                <w:bdr w:val="none" w:sz="0" w:space="0" w:color="auto" w:frame="1"/>
              </w:rPr>
              <w:t xml:space="preserve"> including copies of the finance documents and other financial information.  </w:t>
            </w:r>
          </w:p>
          <w:p w:rsidR="000251AF" w:rsidRPr="00254B8B" w:rsidRDefault="000251AF" w:rsidP="00DE6BD2">
            <w:pPr>
              <w:pStyle w:val="xmsolistparagraph"/>
              <w:shd w:val="clear" w:color="auto" w:fill="FFFFFF"/>
              <w:spacing w:before="0" w:beforeAutospacing="0" w:after="0" w:afterAutospacing="0"/>
              <w:jc w:val="both"/>
              <w:rPr>
                <w:rFonts w:ascii="Arial" w:hAnsi="Arial" w:cs="Arial"/>
                <w:color w:val="201F1E"/>
                <w:sz w:val="22"/>
                <w:szCs w:val="22"/>
              </w:rPr>
            </w:pPr>
          </w:p>
          <w:p w:rsidR="000251AF" w:rsidRPr="00E66114" w:rsidRDefault="000251AF" w:rsidP="000251AF">
            <w:pPr>
              <w:pStyle w:val="xmsolistparagraph"/>
              <w:numPr>
                <w:ilvl w:val="0"/>
                <w:numId w:val="1"/>
              </w:numPr>
              <w:shd w:val="clear" w:color="auto" w:fill="FFFFFF"/>
              <w:spacing w:before="0" w:beforeAutospacing="0" w:after="0" w:afterAutospacing="0"/>
              <w:jc w:val="both"/>
              <w:rPr>
                <w:rFonts w:ascii="Arial" w:hAnsi="Arial" w:cs="Arial"/>
                <w:color w:val="201F1E"/>
                <w:sz w:val="22"/>
                <w:szCs w:val="22"/>
                <w:bdr w:val="none" w:sz="0" w:space="0" w:color="auto" w:frame="1"/>
              </w:rPr>
            </w:pPr>
            <w:r w:rsidRPr="00254B8B">
              <w:rPr>
                <w:rFonts w:ascii="Arial" w:hAnsi="Arial" w:cs="Arial"/>
                <w:color w:val="201F1E"/>
                <w:sz w:val="22"/>
                <w:szCs w:val="22"/>
                <w:bdr w:val="none" w:sz="0" w:space="0" w:color="auto" w:frame="1"/>
              </w:rPr>
              <w:t>In case of interests received from many prospective buyers to buy a loan, the Seller will select the buyer at its discretion</w:t>
            </w:r>
            <w:r>
              <w:rPr>
                <w:rFonts w:ascii="Arial" w:hAnsi="Arial" w:cs="Arial"/>
                <w:color w:val="201F1E"/>
                <w:sz w:val="22"/>
                <w:szCs w:val="22"/>
                <w:bdr w:val="none" w:sz="0" w:space="0" w:color="auto" w:frame="1"/>
              </w:rPr>
              <w:t>.</w:t>
            </w:r>
            <w:r w:rsidRPr="00254B8B">
              <w:rPr>
                <w:rFonts w:ascii="Arial" w:hAnsi="Arial" w:cs="Arial"/>
                <w:color w:val="201F1E"/>
                <w:sz w:val="22"/>
                <w:szCs w:val="22"/>
                <w:bdr w:val="none" w:sz="0" w:space="0" w:color="auto" w:frame="1"/>
              </w:rPr>
              <w:t xml:space="preserve"> There will not be any fixed timeline stipulated by SLMA for completion of transaction or withdrawal of offer by seller.</w:t>
            </w:r>
            <w:r>
              <w:rPr>
                <w:rFonts w:ascii="Arial" w:hAnsi="Arial" w:cs="Arial"/>
                <w:color w:val="201F1E"/>
                <w:sz w:val="22"/>
                <w:szCs w:val="22"/>
                <w:bdr w:val="none" w:sz="0" w:space="0" w:color="auto" w:frame="1"/>
              </w:rPr>
              <w:t xml:space="preserve"> </w:t>
            </w:r>
            <w:r w:rsidRPr="00E66114">
              <w:rPr>
                <w:rFonts w:ascii="Arial" w:hAnsi="Arial" w:cs="Arial"/>
                <w:color w:val="201F1E"/>
                <w:sz w:val="22"/>
                <w:szCs w:val="22"/>
                <w:bdr w:val="none" w:sz="0" w:space="0" w:color="auto" w:frame="1"/>
              </w:rPr>
              <w:t>However</w:t>
            </w:r>
            <w:r>
              <w:rPr>
                <w:rFonts w:ascii="Arial" w:hAnsi="Arial" w:cs="Arial"/>
                <w:color w:val="201F1E"/>
                <w:sz w:val="22"/>
                <w:szCs w:val="22"/>
                <w:bdr w:val="none" w:sz="0" w:space="0" w:color="auto" w:frame="1"/>
              </w:rPr>
              <w:t>,</w:t>
            </w:r>
            <w:r w:rsidRPr="00E66114">
              <w:rPr>
                <w:rFonts w:ascii="Arial" w:hAnsi="Arial" w:cs="Arial"/>
                <w:color w:val="201F1E"/>
                <w:sz w:val="22"/>
                <w:szCs w:val="22"/>
                <w:bdr w:val="none" w:sz="0" w:space="0" w:color="auto" w:frame="1"/>
              </w:rPr>
              <w:t xml:space="preserve"> buyer &amp; seller bank should mutually </w:t>
            </w:r>
            <w:r>
              <w:rPr>
                <w:rFonts w:ascii="Arial" w:hAnsi="Arial" w:cs="Arial"/>
                <w:color w:val="201F1E"/>
                <w:sz w:val="22"/>
                <w:szCs w:val="22"/>
                <w:bdr w:val="none" w:sz="0" w:space="0" w:color="auto" w:frame="1"/>
              </w:rPr>
              <w:t xml:space="preserve">conclude </w:t>
            </w:r>
            <w:r w:rsidRPr="00E66114">
              <w:rPr>
                <w:rFonts w:ascii="Arial" w:hAnsi="Arial" w:cs="Arial"/>
                <w:color w:val="201F1E"/>
                <w:sz w:val="22"/>
                <w:szCs w:val="22"/>
                <w:bdr w:val="none" w:sz="0" w:space="0" w:color="auto" w:frame="1"/>
              </w:rPr>
              <w:t xml:space="preserve">a trade confirmation agreeing on the common terms &amp; settlement date. </w:t>
            </w:r>
          </w:p>
          <w:p w:rsidR="000251AF" w:rsidRPr="00254B8B" w:rsidRDefault="000251AF" w:rsidP="00DE6BD2">
            <w:pPr>
              <w:pStyle w:val="xmsolistparagraph"/>
              <w:shd w:val="clear" w:color="auto" w:fill="FFFFFF"/>
              <w:spacing w:before="0" w:beforeAutospacing="0" w:after="0" w:afterAutospacing="0"/>
              <w:jc w:val="both"/>
              <w:rPr>
                <w:rFonts w:ascii="Arial" w:hAnsi="Arial" w:cs="Arial"/>
                <w:color w:val="201F1E"/>
                <w:sz w:val="22"/>
                <w:szCs w:val="22"/>
              </w:rPr>
            </w:pPr>
          </w:p>
          <w:p w:rsidR="000251AF" w:rsidRDefault="000251AF" w:rsidP="000251AF">
            <w:pPr>
              <w:pStyle w:val="xmsolistparagraph"/>
              <w:numPr>
                <w:ilvl w:val="0"/>
                <w:numId w:val="1"/>
              </w:numPr>
              <w:shd w:val="clear" w:color="auto" w:fill="FFFFFF"/>
              <w:spacing w:before="0" w:beforeAutospacing="0" w:after="0" w:afterAutospacing="0"/>
              <w:jc w:val="both"/>
              <w:rPr>
                <w:rFonts w:ascii="Arial" w:hAnsi="Arial" w:cs="Arial"/>
                <w:color w:val="201F1E"/>
                <w:sz w:val="22"/>
                <w:szCs w:val="22"/>
              </w:rPr>
            </w:pPr>
            <w:r w:rsidRPr="00254B8B">
              <w:rPr>
                <w:rFonts w:ascii="Arial" w:hAnsi="Arial" w:cs="Arial"/>
                <w:color w:val="201F1E"/>
                <w:sz w:val="22"/>
                <w:szCs w:val="22"/>
              </w:rPr>
              <w:t>SLMA will not facilitate the actual settlement of transaction between the seller and buyer of loan.</w:t>
            </w:r>
          </w:p>
          <w:p w:rsidR="000251AF" w:rsidRPr="00254B8B" w:rsidRDefault="000251AF" w:rsidP="00DE6BD2">
            <w:pPr>
              <w:pStyle w:val="xmsolistparagraph"/>
              <w:shd w:val="clear" w:color="auto" w:fill="FFFFFF"/>
              <w:spacing w:before="0" w:beforeAutospacing="0" w:after="0" w:afterAutospacing="0"/>
              <w:jc w:val="both"/>
              <w:rPr>
                <w:rFonts w:ascii="Arial" w:hAnsi="Arial" w:cs="Arial"/>
                <w:color w:val="201F1E"/>
                <w:sz w:val="22"/>
                <w:szCs w:val="22"/>
              </w:rPr>
            </w:pPr>
          </w:p>
          <w:p w:rsidR="000251AF" w:rsidRDefault="000251AF" w:rsidP="000251AF">
            <w:pPr>
              <w:pStyle w:val="xmsolistparagraph"/>
              <w:numPr>
                <w:ilvl w:val="0"/>
                <w:numId w:val="1"/>
              </w:numPr>
              <w:shd w:val="clear" w:color="auto" w:fill="FFFFFF"/>
              <w:spacing w:before="0" w:beforeAutospacing="0" w:after="0" w:afterAutospacing="0"/>
              <w:jc w:val="both"/>
              <w:rPr>
                <w:rFonts w:ascii="Arial" w:hAnsi="Arial" w:cs="Arial"/>
                <w:color w:val="201F1E"/>
                <w:sz w:val="22"/>
                <w:szCs w:val="22"/>
              </w:rPr>
            </w:pPr>
            <w:r w:rsidRPr="00254B8B">
              <w:rPr>
                <w:rFonts w:ascii="Arial" w:hAnsi="Arial" w:cs="Arial"/>
                <w:color w:val="201F1E"/>
                <w:sz w:val="22"/>
                <w:szCs w:val="22"/>
              </w:rPr>
              <w:t>In order to ensure seamless and hassle-free transaction, Member Institutions will offer only those loans for sale where Security Trustee and Facility Agent are available</w:t>
            </w:r>
            <w:r>
              <w:rPr>
                <w:rFonts w:ascii="Arial" w:hAnsi="Arial" w:cs="Arial"/>
                <w:color w:val="201F1E"/>
                <w:sz w:val="22"/>
                <w:szCs w:val="22"/>
              </w:rPr>
              <w:t xml:space="preserve"> in case of syndicate or consortium advance.  </w:t>
            </w:r>
          </w:p>
          <w:p w:rsidR="000251AF" w:rsidRDefault="000251AF" w:rsidP="00DE6BD2">
            <w:pPr>
              <w:pStyle w:val="ListParagraph"/>
              <w:rPr>
                <w:rFonts w:ascii="Arial" w:hAnsi="Arial" w:cs="Arial"/>
                <w:color w:val="201F1E"/>
              </w:rPr>
            </w:pPr>
          </w:p>
          <w:p w:rsidR="000251AF" w:rsidRDefault="000251AF" w:rsidP="000251AF">
            <w:pPr>
              <w:pStyle w:val="xmsolistparagraph"/>
              <w:numPr>
                <w:ilvl w:val="0"/>
                <w:numId w:val="1"/>
              </w:numPr>
              <w:shd w:val="clear" w:color="auto" w:fill="FFFFFF"/>
              <w:spacing w:before="0" w:beforeAutospacing="0" w:after="0" w:afterAutospacing="0"/>
              <w:jc w:val="both"/>
              <w:rPr>
                <w:rFonts w:ascii="Arial" w:hAnsi="Arial" w:cs="Arial"/>
                <w:color w:val="201F1E"/>
                <w:sz w:val="22"/>
                <w:szCs w:val="22"/>
              </w:rPr>
            </w:pPr>
            <w:r>
              <w:rPr>
                <w:rFonts w:ascii="Arial" w:hAnsi="Arial" w:cs="Arial"/>
                <w:color w:val="201F1E"/>
                <w:sz w:val="22"/>
                <w:szCs w:val="22"/>
              </w:rPr>
              <w:t xml:space="preserve">Applicable SLMA charges (if any) will be payable once the NDA is executed. </w:t>
            </w:r>
          </w:p>
          <w:p w:rsidR="000251AF" w:rsidRPr="00E66114" w:rsidRDefault="000251AF" w:rsidP="00DE6BD2">
            <w:pPr>
              <w:rPr>
                <w:rFonts w:ascii="Arial" w:hAnsi="Arial" w:cs="Arial"/>
                <w:color w:val="201F1E"/>
              </w:rPr>
            </w:pPr>
          </w:p>
          <w:p w:rsidR="000251AF" w:rsidRDefault="000251AF" w:rsidP="0042490E">
            <w:pPr>
              <w:numPr>
                <w:ilvl w:val="0"/>
                <w:numId w:val="1"/>
              </w:numPr>
              <w:spacing w:after="0" w:line="240" w:lineRule="auto"/>
              <w:rPr>
                <w:rFonts w:ascii="Arial" w:hAnsi="Arial" w:cs="Arial"/>
                <w:color w:val="201F1E"/>
              </w:rPr>
            </w:pPr>
            <w:r w:rsidRPr="00E66114">
              <w:rPr>
                <w:rFonts w:ascii="Arial" w:eastAsia="Times New Roman" w:hAnsi="Arial" w:cs="Arial"/>
                <w:color w:val="201F1E"/>
                <w:lang w:eastAsia="en-IN"/>
              </w:rPr>
              <w:t xml:space="preserve">Follow Standardized process on sharing of documentation charges (such as legal opinions etc.) between Incoming Lender and Selling Bank - Borrower may bear the Transfer related costs, if agreed upon upfront in the documents. </w:t>
            </w:r>
          </w:p>
          <w:p w:rsidR="0042490E" w:rsidRPr="0042490E" w:rsidRDefault="0042490E" w:rsidP="0042490E">
            <w:pPr>
              <w:spacing w:after="0" w:line="240" w:lineRule="auto"/>
              <w:rPr>
                <w:rFonts w:ascii="Arial" w:hAnsi="Arial" w:cs="Arial"/>
                <w:color w:val="201F1E"/>
              </w:rPr>
            </w:pPr>
          </w:p>
          <w:p w:rsidR="000251AF" w:rsidRPr="00254B8B" w:rsidRDefault="000251AF" w:rsidP="000251AF">
            <w:pPr>
              <w:pStyle w:val="xmsolistparagraph"/>
              <w:numPr>
                <w:ilvl w:val="0"/>
                <w:numId w:val="1"/>
              </w:numPr>
              <w:shd w:val="clear" w:color="auto" w:fill="FFFFFF"/>
              <w:spacing w:before="0" w:beforeAutospacing="0" w:after="0" w:afterAutospacing="0"/>
              <w:jc w:val="both"/>
              <w:rPr>
                <w:rFonts w:ascii="Arial" w:hAnsi="Arial" w:cs="Arial"/>
                <w:color w:val="201F1E"/>
                <w:sz w:val="22"/>
                <w:szCs w:val="22"/>
              </w:rPr>
            </w:pPr>
            <w:r w:rsidRPr="00254B8B">
              <w:rPr>
                <w:rFonts w:ascii="Arial" w:hAnsi="Arial" w:cs="Arial"/>
                <w:color w:val="201F1E"/>
                <w:sz w:val="22"/>
                <w:szCs w:val="22"/>
                <w:bdr w:val="none" w:sz="0" w:space="0" w:color="auto" w:frame="1"/>
              </w:rPr>
              <w:lastRenderedPageBreak/>
              <w:t xml:space="preserve">Member Institutions would need to comply with internal guidelines of SLMA for secondary trading on the following key points: </w:t>
            </w:r>
          </w:p>
          <w:p w:rsidR="000251AF" w:rsidRPr="00254B8B" w:rsidRDefault="000251AF" w:rsidP="00DE6BD2">
            <w:pPr>
              <w:pStyle w:val="xmsolistparagraph"/>
              <w:shd w:val="clear" w:color="auto" w:fill="FFFFFF"/>
              <w:spacing w:before="0" w:beforeAutospacing="0" w:after="0" w:afterAutospacing="0"/>
              <w:ind w:left="720"/>
              <w:jc w:val="both"/>
              <w:rPr>
                <w:rFonts w:ascii="Arial" w:hAnsi="Arial" w:cs="Arial"/>
                <w:color w:val="201F1E"/>
                <w:sz w:val="22"/>
                <w:szCs w:val="22"/>
              </w:rPr>
            </w:pPr>
          </w:p>
          <w:p w:rsidR="000251AF" w:rsidRPr="00E94040" w:rsidRDefault="000251AF" w:rsidP="000251AF">
            <w:pPr>
              <w:pStyle w:val="xmsolistparagraph"/>
              <w:numPr>
                <w:ilvl w:val="1"/>
                <w:numId w:val="1"/>
              </w:numPr>
              <w:shd w:val="clear" w:color="auto" w:fill="FFFFFF"/>
              <w:spacing w:before="0" w:beforeAutospacing="0" w:after="0" w:afterAutospacing="0"/>
              <w:jc w:val="both"/>
              <w:rPr>
                <w:rFonts w:ascii="Arial" w:hAnsi="Arial" w:cs="Arial"/>
                <w:color w:val="201F1E"/>
                <w:sz w:val="22"/>
                <w:szCs w:val="22"/>
                <w:bdr w:val="none" w:sz="0" w:space="0" w:color="auto" w:frame="1"/>
              </w:rPr>
            </w:pPr>
            <w:r w:rsidRPr="00254B8B">
              <w:rPr>
                <w:rFonts w:ascii="Arial" w:hAnsi="Arial" w:cs="Arial"/>
                <w:color w:val="201F1E"/>
                <w:sz w:val="22"/>
                <w:szCs w:val="22"/>
                <w:bdr w:val="none" w:sz="0" w:space="0" w:color="auto" w:frame="1"/>
              </w:rPr>
              <w:t>Procedure for intimation to borrower before</w:t>
            </w:r>
            <w:r>
              <w:rPr>
                <w:rFonts w:ascii="Arial" w:hAnsi="Arial" w:cs="Arial"/>
                <w:color w:val="201F1E"/>
                <w:sz w:val="22"/>
                <w:szCs w:val="22"/>
                <w:bdr w:val="none" w:sz="0" w:space="0" w:color="auto" w:frame="1"/>
              </w:rPr>
              <w:t xml:space="preserve"> (if required as per documentation)</w:t>
            </w:r>
            <w:r w:rsidRPr="00254B8B">
              <w:rPr>
                <w:rFonts w:ascii="Arial" w:hAnsi="Arial" w:cs="Arial"/>
                <w:color w:val="201F1E"/>
                <w:sz w:val="22"/>
                <w:szCs w:val="22"/>
                <w:bdr w:val="none" w:sz="0" w:space="0" w:color="auto" w:frame="1"/>
              </w:rPr>
              <w:t xml:space="preserve"> or after the transaction</w:t>
            </w:r>
          </w:p>
          <w:p w:rsidR="000251AF" w:rsidRPr="00E94040" w:rsidRDefault="000251AF" w:rsidP="00DE6BD2">
            <w:pPr>
              <w:pStyle w:val="xmsolistparagraph"/>
              <w:shd w:val="clear" w:color="auto" w:fill="FFFFFF"/>
              <w:spacing w:before="0" w:beforeAutospacing="0" w:after="0" w:afterAutospacing="0"/>
              <w:ind w:left="1440"/>
              <w:jc w:val="both"/>
              <w:rPr>
                <w:rFonts w:ascii="Arial" w:hAnsi="Arial" w:cs="Arial"/>
                <w:color w:val="201F1E"/>
                <w:sz w:val="22"/>
                <w:szCs w:val="22"/>
                <w:bdr w:val="none" w:sz="0" w:space="0" w:color="auto" w:frame="1"/>
              </w:rPr>
            </w:pPr>
          </w:p>
          <w:p w:rsidR="000251AF" w:rsidRPr="00E66114" w:rsidRDefault="000251AF" w:rsidP="000251AF">
            <w:pPr>
              <w:pStyle w:val="xmsolistparagraph"/>
              <w:numPr>
                <w:ilvl w:val="1"/>
                <w:numId w:val="1"/>
              </w:numPr>
              <w:shd w:val="clear" w:color="auto" w:fill="FFFFFF"/>
              <w:spacing w:before="0" w:beforeAutospacing="0" w:after="0" w:afterAutospacing="0"/>
              <w:jc w:val="both"/>
              <w:rPr>
                <w:rFonts w:ascii="Arial" w:hAnsi="Arial" w:cs="Arial"/>
                <w:color w:val="201F1E"/>
                <w:sz w:val="22"/>
                <w:szCs w:val="22"/>
                <w:bdr w:val="none" w:sz="0" w:space="0" w:color="auto" w:frame="1"/>
              </w:rPr>
            </w:pPr>
            <w:r w:rsidRPr="00E66114">
              <w:rPr>
                <w:rFonts w:ascii="Arial" w:hAnsi="Arial" w:cs="Arial"/>
                <w:color w:val="201F1E"/>
                <w:sz w:val="22"/>
                <w:szCs w:val="22"/>
                <w:bdr w:val="none" w:sz="0" w:space="0" w:color="auto" w:frame="1"/>
              </w:rPr>
              <w:t>Borrower acceptance on the sanction letter of Incoming Lender would not be required for the transfer to be effected</w:t>
            </w:r>
          </w:p>
          <w:p w:rsidR="000251AF" w:rsidRPr="00E66114" w:rsidRDefault="000251AF" w:rsidP="00DE6BD2">
            <w:pPr>
              <w:pStyle w:val="xmsolistparagraph"/>
              <w:shd w:val="clear" w:color="auto" w:fill="FFFFFF"/>
              <w:spacing w:before="0" w:beforeAutospacing="0" w:after="0" w:afterAutospacing="0"/>
              <w:ind w:left="1440"/>
              <w:jc w:val="both"/>
              <w:rPr>
                <w:rFonts w:ascii="Arial" w:hAnsi="Arial" w:cs="Arial"/>
                <w:color w:val="201F1E"/>
                <w:sz w:val="22"/>
                <w:szCs w:val="22"/>
                <w:bdr w:val="none" w:sz="0" w:space="0" w:color="auto" w:frame="1"/>
              </w:rPr>
            </w:pPr>
            <w:r w:rsidRPr="00254B8B">
              <w:rPr>
                <w:rFonts w:ascii="Arial" w:hAnsi="Arial" w:cs="Arial"/>
                <w:color w:val="201F1E"/>
                <w:sz w:val="22"/>
                <w:szCs w:val="22"/>
                <w:bdr w:val="none" w:sz="0" w:space="0" w:color="auto" w:frame="1"/>
              </w:rPr>
              <w:t xml:space="preserve"> </w:t>
            </w:r>
          </w:p>
          <w:p w:rsidR="000251AF" w:rsidRPr="006327B8" w:rsidRDefault="000251AF" w:rsidP="000251AF">
            <w:pPr>
              <w:pStyle w:val="xmsolistparagraph"/>
              <w:numPr>
                <w:ilvl w:val="1"/>
                <w:numId w:val="1"/>
              </w:numPr>
              <w:shd w:val="clear" w:color="auto" w:fill="FFFFFF"/>
              <w:spacing w:before="0" w:beforeAutospacing="0" w:after="0" w:afterAutospacing="0"/>
              <w:jc w:val="both"/>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Standardized NDA should be executed amongst buyer and seller, stamp duty charges for the NDA can be borne either by the seller or the buyer as per mutual understanding. </w:t>
            </w:r>
          </w:p>
          <w:p w:rsidR="000251AF" w:rsidRPr="00254B8B" w:rsidRDefault="000251AF" w:rsidP="00DE6BD2">
            <w:pPr>
              <w:pStyle w:val="xmsolistparagraph"/>
              <w:shd w:val="clear" w:color="auto" w:fill="FFFFFF"/>
              <w:spacing w:before="0" w:beforeAutospacing="0" w:after="0" w:afterAutospacing="0"/>
              <w:ind w:left="1440"/>
              <w:jc w:val="both"/>
              <w:rPr>
                <w:rFonts w:ascii="Arial" w:hAnsi="Arial" w:cs="Arial"/>
                <w:color w:val="201F1E"/>
                <w:sz w:val="22"/>
                <w:szCs w:val="22"/>
              </w:rPr>
            </w:pPr>
            <w:r w:rsidRPr="00254B8B">
              <w:rPr>
                <w:rFonts w:ascii="Arial" w:hAnsi="Arial" w:cs="Arial"/>
                <w:color w:val="201F1E"/>
                <w:sz w:val="22"/>
                <w:szCs w:val="22"/>
                <w:bdr w:val="none" w:sz="0" w:space="0" w:color="auto" w:frame="1"/>
              </w:rPr>
              <w:t>   </w:t>
            </w:r>
          </w:p>
          <w:p w:rsidR="000251AF" w:rsidRPr="006F13BB" w:rsidRDefault="000251AF" w:rsidP="000251AF">
            <w:pPr>
              <w:pStyle w:val="xmsolistparagraph"/>
              <w:numPr>
                <w:ilvl w:val="1"/>
                <w:numId w:val="2"/>
              </w:numPr>
              <w:shd w:val="clear" w:color="auto" w:fill="FFFFFF"/>
              <w:spacing w:before="0" w:beforeAutospacing="0" w:after="0" w:afterAutospacing="0"/>
              <w:ind w:left="1350"/>
              <w:jc w:val="both"/>
              <w:rPr>
                <w:rFonts w:ascii="Arial" w:hAnsi="Arial" w:cs="Arial"/>
                <w:color w:val="201F1E"/>
                <w:sz w:val="22"/>
                <w:szCs w:val="22"/>
              </w:rPr>
            </w:pPr>
            <w:r w:rsidRPr="006F13BB">
              <w:rPr>
                <w:rFonts w:ascii="Arial" w:hAnsi="Arial" w:cs="Arial"/>
                <w:color w:val="201F1E"/>
                <w:sz w:val="22"/>
                <w:szCs w:val="22"/>
                <w:bdr w:val="none" w:sz="0" w:space="0" w:color="auto" w:frame="1"/>
              </w:rPr>
              <w:t xml:space="preserve">Borrowers should be agreeable to accept the interest rate of the incoming bank that the effective rate is equal on the date of documentation and on first reset date, provided the first reset date is falling within one year of the date of transfer.  </w:t>
            </w:r>
          </w:p>
          <w:p w:rsidR="000251AF" w:rsidRPr="00E67579" w:rsidRDefault="000251AF" w:rsidP="00DE6BD2">
            <w:pPr>
              <w:pStyle w:val="xmsolistparagraph"/>
              <w:shd w:val="clear" w:color="auto" w:fill="FFFFFF"/>
              <w:spacing w:before="0" w:beforeAutospacing="0" w:after="0" w:afterAutospacing="0"/>
              <w:jc w:val="both"/>
              <w:rPr>
                <w:rFonts w:ascii="Arial" w:hAnsi="Arial" w:cs="Arial"/>
                <w:color w:val="201F1E"/>
                <w:sz w:val="22"/>
                <w:szCs w:val="22"/>
              </w:rPr>
            </w:pPr>
          </w:p>
          <w:p w:rsidR="000251AF" w:rsidRPr="00254B8B" w:rsidRDefault="000251AF" w:rsidP="000251AF">
            <w:pPr>
              <w:pStyle w:val="xmsolistparagraph"/>
              <w:numPr>
                <w:ilvl w:val="1"/>
                <w:numId w:val="2"/>
              </w:numPr>
              <w:shd w:val="clear" w:color="auto" w:fill="FFFFFF"/>
              <w:spacing w:before="0" w:beforeAutospacing="0" w:after="0" w:afterAutospacing="0"/>
              <w:ind w:left="1418"/>
              <w:jc w:val="both"/>
              <w:rPr>
                <w:rFonts w:ascii="Arial" w:hAnsi="Arial" w:cs="Arial"/>
                <w:color w:val="201F1E"/>
                <w:sz w:val="22"/>
                <w:szCs w:val="22"/>
                <w:bdr w:val="none" w:sz="0" w:space="0" w:color="auto" w:frame="1"/>
                <w:lang w:val="en-US"/>
              </w:rPr>
            </w:pPr>
            <w:r w:rsidRPr="00254B8B">
              <w:rPr>
                <w:rFonts w:ascii="Arial" w:hAnsi="Arial" w:cs="Arial"/>
                <w:color w:val="201F1E"/>
                <w:sz w:val="22"/>
                <w:szCs w:val="22"/>
                <w:bdr w:val="none" w:sz="0" w:space="0" w:color="auto" w:frame="1"/>
              </w:rPr>
              <w:t>List of agreeable benchmark rates to the agreed upfront (MCLRs of various banks) or non-MCLR linked benchmarks viz. FIBIL/REPO/T Bills.</w:t>
            </w:r>
            <w:r>
              <w:rPr>
                <w:rFonts w:ascii="Arial" w:hAnsi="Arial" w:cs="Arial"/>
                <w:color w:val="201F1E"/>
                <w:sz w:val="22"/>
                <w:szCs w:val="22"/>
                <w:bdr w:val="none" w:sz="0" w:space="0" w:color="auto" w:frame="1"/>
              </w:rPr>
              <w:t xml:space="preserve"> The specific benchmark rate (MCLR of various banks/REPO/T Bills) to be specified upfront by the incoming lender in conformity with the clause above. </w:t>
            </w:r>
          </w:p>
          <w:p w:rsidR="000251AF" w:rsidRPr="00254B8B" w:rsidRDefault="000251AF" w:rsidP="00DE6BD2">
            <w:pPr>
              <w:pStyle w:val="xmsolistparagraph"/>
              <w:shd w:val="clear" w:color="auto" w:fill="FFFFFF"/>
              <w:spacing w:before="0" w:beforeAutospacing="0" w:after="0" w:afterAutospacing="0"/>
              <w:jc w:val="both"/>
              <w:rPr>
                <w:rFonts w:ascii="Arial" w:hAnsi="Arial" w:cs="Arial"/>
                <w:color w:val="201F1E"/>
                <w:sz w:val="22"/>
                <w:szCs w:val="22"/>
                <w:bdr w:val="none" w:sz="0" w:space="0" w:color="auto" w:frame="1"/>
                <w:lang w:val="en-US"/>
              </w:rPr>
            </w:pPr>
          </w:p>
          <w:p w:rsidR="000251AF" w:rsidRPr="00254B8B" w:rsidRDefault="000251AF" w:rsidP="000251AF">
            <w:pPr>
              <w:pStyle w:val="xmsolistparagraph"/>
              <w:numPr>
                <w:ilvl w:val="0"/>
                <w:numId w:val="2"/>
              </w:numPr>
              <w:shd w:val="clear" w:color="auto" w:fill="FFFFFF"/>
              <w:spacing w:before="0" w:beforeAutospacing="0" w:after="0" w:afterAutospacing="0"/>
              <w:jc w:val="both"/>
              <w:rPr>
                <w:rFonts w:ascii="Arial" w:hAnsi="Arial" w:cs="Arial"/>
                <w:color w:val="201F1E"/>
                <w:sz w:val="22"/>
                <w:szCs w:val="22"/>
              </w:rPr>
            </w:pPr>
            <w:r w:rsidRPr="00254B8B">
              <w:rPr>
                <w:rFonts w:ascii="Arial" w:hAnsi="Arial" w:cs="Arial"/>
                <w:color w:val="201F1E"/>
                <w:sz w:val="22"/>
                <w:szCs w:val="22"/>
                <w:bdr w:val="none" w:sz="0" w:space="0" w:color="auto" w:frame="1"/>
                <w:lang w:val="en-US"/>
              </w:rPr>
              <w:t xml:space="preserve">Standard format for intimation to the client </w:t>
            </w:r>
            <w:r w:rsidRPr="00254B8B">
              <w:rPr>
                <w:rFonts w:ascii="Arial" w:hAnsi="Arial" w:cs="Arial"/>
                <w:sz w:val="22"/>
                <w:szCs w:val="22"/>
                <w:bdr w:val="none" w:sz="0" w:space="0" w:color="auto" w:frame="1"/>
                <w:lang w:val="en-US"/>
              </w:rPr>
              <w:t xml:space="preserve">on “Split Interest” post </w:t>
            </w:r>
            <w:r w:rsidRPr="00254B8B">
              <w:rPr>
                <w:rFonts w:ascii="Arial" w:hAnsi="Arial" w:cs="Arial"/>
                <w:color w:val="201F1E"/>
                <w:sz w:val="22"/>
                <w:szCs w:val="22"/>
                <w:bdr w:val="none" w:sz="0" w:space="0" w:color="auto" w:frame="1"/>
                <w:lang w:val="en-US"/>
              </w:rPr>
              <w:t>transfer of loans to incoming lenders (</w:t>
            </w:r>
            <w:r w:rsidRPr="00254B8B">
              <w:rPr>
                <w:rFonts w:ascii="Arial" w:hAnsi="Arial" w:cs="Arial"/>
                <w:color w:val="201F1E"/>
                <w:sz w:val="22"/>
                <w:szCs w:val="22"/>
                <w:bdr w:val="none" w:sz="0" w:space="0" w:color="auto" w:frame="1"/>
              </w:rPr>
              <w:t>This is a letter which would be issued by the transferring bank to the Borrower and Facility agent with copy to the new incoming banks. This is to record the date of transfer with the borrower and to intimate the borrower/Facility Agent to credit the repayment and interest to the tune of transferred amount to the new lender’s account)</w:t>
            </w:r>
            <w:r>
              <w:rPr>
                <w:rFonts w:ascii="Arial" w:hAnsi="Arial" w:cs="Arial"/>
                <w:color w:val="201F1E"/>
                <w:sz w:val="22"/>
                <w:szCs w:val="22"/>
                <w:bdr w:val="none" w:sz="0" w:space="0" w:color="auto" w:frame="1"/>
              </w:rPr>
              <w:t>.</w:t>
            </w:r>
          </w:p>
          <w:p w:rsidR="000251AF" w:rsidRPr="00254B8B" w:rsidRDefault="000251AF" w:rsidP="00DE6BD2">
            <w:pPr>
              <w:pStyle w:val="xmsolistparagraph"/>
              <w:shd w:val="clear" w:color="auto" w:fill="FFFFFF"/>
              <w:spacing w:before="0" w:beforeAutospacing="0" w:after="0" w:afterAutospacing="0"/>
              <w:jc w:val="both"/>
              <w:rPr>
                <w:rFonts w:ascii="Arial" w:hAnsi="Arial" w:cs="Arial"/>
                <w:color w:val="201F1E"/>
                <w:sz w:val="22"/>
                <w:szCs w:val="22"/>
              </w:rPr>
            </w:pPr>
          </w:p>
          <w:p w:rsidR="000251AF" w:rsidRPr="00C16A75" w:rsidRDefault="000251AF" w:rsidP="000251AF">
            <w:pPr>
              <w:pStyle w:val="xmsolistparagraph"/>
              <w:numPr>
                <w:ilvl w:val="0"/>
                <w:numId w:val="2"/>
              </w:numPr>
              <w:shd w:val="clear" w:color="auto" w:fill="FFFFFF"/>
              <w:spacing w:before="0" w:beforeAutospacing="0" w:after="0" w:afterAutospacing="0"/>
              <w:jc w:val="both"/>
              <w:rPr>
                <w:rFonts w:ascii="Arial" w:hAnsi="Arial" w:cs="Arial"/>
                <w:sz w:val="22"/>
                <w:szCs w:val="22"/>
              </w:rPr>
            </w:pPr>
            <w:r w:rsidRPr="00254B8B">
              <w:rPr>
                <w:rFonts w:ascii="Arial" w:hAnsi="Arial" w:cs="Arial"/>
                <w:sz w:val="22"/>
                <w:szCs w:val="22"/>
                <w:bdr w:val="none" w:sz="0" w:space="0" w:color="auto" w:frame="1"/>
                <w:lang w:val="en-US"/>
              </w:rPr>
              <w:t>Incoming lenders should not stipulate tag along clauses</w:t>
            </w:r>
            <w:r>
              <w:rPr>
                <w:rFonts w:ascii="Arial" w:hAnsi="Arial" w:cs="Arial"/>
                <w:sz w:val="22"/>
                <w:szCs w:val="22"/>
                <w:bdr w:val="none" w:sz="0" w:space="0" w:color="auto" w:frame="1"/>
                <w:lang w:val="en-US"/>
              </w:rPr>
              <w:t xml:space="preserve"> or any minimum hold amount on selling bank</w:t>
            </w:r>
            <w:r w:rsidRPr="00254B8B">
              <w:rPr>
                <w:rFonts w:ascii="Arial" w:hAnsi="Arial" w:cs="Arial"/>
                <w:sz w:val="22"/>
                <w:szCs w:val="22"/>
                <w:bdr w:val="none" w:sz="0" w:space="0" w:color="auto" w:frame="1"/>
                <w:lang w:val="en-US"/>
              </w:rPr>
              <w:t xml:space="preserve"> which </w:t>
            </w:r>
            <w:r>
              <w:rPr>
                <w:rFonts w:ascii="Arial" w:hAnsi="Arial" w:cs="Arial"/>
                <w:sz w:val="22"/>
                <w:szCs w:val="22"/>
                <w:bdr w:val="none" w:sz="0" w:space="0" w:color="auto" w:frame="1"/>
                <w:lang w:val="en-US"/>
              </w:rPr>
              <w:t>may</w:t>
            </w:r>
            <w:r w:rsidRPr="00254B8B">
              <w:rPr>
                <w:rFonts w:ascii="Arial" w:hAnsi="Arial" w:cs="Arial"/>
                <w:sz w:val="22"/>
                <w:szCs w:val="22"/>
                <w:bdr w:val="none" w:sz="0" w:space="0" w:color="auto" w:frame="1"/>
                <w:lang w:val="en-US"/>
              </w:rPr>
              <w:t xml:space="preserve"> become an impediment in</w:t>
            </w:r>
            <w:r>
              <w:rPr>
                <w:rFonts w:ascii="Arial" w:hAnsi="Arial" w:cs="Arial"/>
                <w:sz w:val="22"/>
                <w:szCs w:val="22"/>
                <w:bdr w:val="none" w:sz="0" w:space="0" w:color="auto" w:frame="1"/>
                <w:lang w:val="en-US"/>
              </w:rPr>
              <w:t xml:space="preserve"> future</w:t>
            </w:r>
            <w:r w:rsidRPr="00254B8B">
              <w:rPr>
                <w:rFonts w:ascii="Arial" w:hAnsi="Arial" w:cs="Arial"/>
                <w:sz w:val="22"/>
                <w:szCs w:val="22"/>
                <w:bdr w:val="none" w:sz="0" w:space="0" w:color="auto" w:frame="1"/>
                <w:lang w:val="en-US"/>
              </w:rPr>
              <w:t xml:space="preserve"> sell downs of loans</w:t>
            </w:r>
            <w:r>
              <w:rPr>
                <w:rFonts w:ascii="Arial" w:hAnsi="Arial" w:cs="Arial"/>
                <w:sz w:val="22"/>
                <w:szCs w:val="22"/>
                <w:bdr w:val="none" w:sz="0" w:space="0" w:color="auto" w:frame="1"/>
                <w:lang w:val="en-US"/>
              </w:rPr>
              <w:t>.</w:t>
            </w:r>
          </w:p>
          <w:p w:rsidR="000251AF" w:rsidRDefault="000251AF" w:rsidP="00DE6BD2">
            <w:pPr>
              <w:pStyle w:val="ListParagraph"/>
              <w:ind w:left="360"/>
              <w:rPr>
                <w:rFonts w:ascii="Arial" w:hAnsi="Arial" w:cs="Arial"/>
                <w:color w:val="201F1E"/>
                <w:bdr w:val="none" w:sz="0" w:space="0" w:color="auto" w:frame="1"/>
              </w:rPr>
            </w:pPr>
          </w:p>
          <w:p w:rsidR="000251AF" w:rsidRPr="00A56FA8" w:rsidRDefault="000251AF" w:rsidP="000251AF">
            <w:pPr>
              <w:pStyle w:val="xmsolistparagraph"/>
              <w:numPr>
                <w:ilvl w:val="0"/>
                <w:numId w:val="2"/>
              </w:numPr>
              <w:shd w:val="clear" w:color="auto" w:fill="FFFFFF"/>
              <w:spacing w:before="0" w:beforeAutospacing="0" w:after="0" w:afterAutospacing="0"/>
              <w:jc w:val="both"/>
              <w:rPr>
                <w:rFonts w:ascii="Arial" w:hAnsi="Arial" w:cs="Arial"/>
                <w:sz w:val="22"/>
                <w:szCs w:val="22"/>
              </w:rPr>
            </w:pPr>
            <w:r w:rsidRPr="00C16A75">
              <w:rPr>
                <w:rFonts w:ascii="Arial" w:hAnsi="Arial" w:cs="Arial"/>
                <w:color w:val="201F1E"/>
                <w:sz w:val="22"/>
                <w:szCs w:val="22"/>
                <w:bdr w:val="none" w:sz="0" w:space="0" w:color="auto" w:frame="1"/>
              </w:rPr>
              <w:t>Follow Standardized process on sharing of documentation charges (such as legal opinions etc.) between Incoming Lender and Selling Bank.</w:t>
            </w:r>
          </w:p>
          <w:p w:rsidR="000251AF" w:rsidRDefault="000251AF" w:rsidP="00DE6BD2">
            <w:pPr>
              <w:pStyle w:val="ListParagraph"/>
              <w:ind w:left="360"/>
              <w:rPr>
                <w:rFonts w:ascii="Arial" w:hAnsi="Arial" w:cs="Arial"/>
              </w:rPr>
            </w:pPr>
          </w:p>
          <w:p w:rsidR="000251AF" w:rsidRDefault="000251AF" w:rsidP="000251AF">
            <w:pPr>
              <w:pStyle w:val="xmsolistparagraph"/>
              <w:numPr>
                <w:ilvl w:val="0"/>
                <w:numId w:val="2"/>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SLMA will not be responsible for misrepresentation by the trading partners.</w:t>
            </w:r>
          </w:p>
          <w:p w:rsidR="000251AF" w:rsidRDefault="000251AF" w:rsidP="00DE6BD2">
            <w:pPr>
              <w:pStyle w:val="ListParagraph"/>
              <w:ind w:left="360"/>
              <w:rPr>
                <w:rFonts w:ascii="Arial" w:hAnsi="Arial" w:cs="Arial"/>
              </w:rPr>
            </w:pPr>
          </w:p>
          <w:p w:rsidR="000251AF" w:rsidRDefault="000251AF" w:rsidP="000251AF">
            <w:pPr>
              <w:pStyle w:val="xmsolistparagraph"/>
              <w:numPr>
                <w:ilvl w:val="1"/>
                <w:numId w:val="2"/>
              </w:numPr>
              <w:shd w:val="clear" w:color="auto" w:fill="FFFFFF"/>
              <w:spacing w:before="0" w:beforeAutospacing="0" w:after="0" w:afterAutospacing="0"/>
              <w:ind w:left="720"/>
              <w:jc w:val="both"/>
              <w:rPr>
                <w:rFonts w:ascii="Arial" w:hAnsi="Arial" w:cs="Arial"/>
                <w:sz w:val="22"/>
                <w:szCs w:val="22"/>
              </w:rPr>
            </w:pPr>
            <w:r>
              <w:rPr>
                <w:rFonts w:ascii="Arial" w:hAnsi="Arial" w:cs="Arial"/>
                <w:sz w:val="22"/>
                <w:szCs w:val="22"/>
              </w:rPr>
              <w:t>Currently SLMA is not providing settlement facilities.</w:t>
            </w:r>
          </w:p>
          <w:p w:rsidR="000251AF" w:rsidRDefault="000251AF" w:rsidP="00DE6BD2">
            <w:pPr>
              <w:pStyle w:val="ListParagraph"/>
              <w:ind w:left="0"/>
              <w:rPr>
                <w:rFonts w:ascii="Arial" w:hAnsi="Arial" w:cs="Arial"/>
              </w:rPr>
            </w:pPr>
          </w:p>
          <w:p w:rsidR="000251AF" w:rsidRDefault="000251AF" w:rsidP="000251AF">
            <w:pPr>
              <w:pStyle w:val="xmsolistparagraph"/>
              <w:numPr>
                <w:ilvl w:val="1"/>
                <w:numId w:val="2"/>
              </w:numPr>
              <w:shd w:val="clear" w:color="auto" w:fill="FFFFFF"/>
              <w:spacing w:before="0" w:beforeAutospacing="0" w:after="0" w:afterAutospacing="0"/>
              <w:ind w:left="720"/>
              <w:jc w:val="both"/>
              <w:rPr>
                <w:rFonts w:ascii="Arial" w:hAnsi="Arial" w:cs="Arial"/>
                <w:sz w:val="22"/>
                <w:szCs w:val="22"/>
              </w:rPr>
            </w:pPr>
            <w:r>
              <w:rPr>
                <w:rFonts w:ascii="Arial" w:hAnsi="Arial" w:cs="Arial"/>
                <w:sz w:val="22"/>
                <w:szCs w:val="22"/>
              </w:rPr>
              <w:t>SLMA will not be responsible for security creation.</w:t>
            </w:r>
          </w:p>
          <w:p w:rsidR="000251AF" w:rsidRDefault="000251AF" w:rsidP="00DE6BD2">
            <w:pPr>
              <w:pStyle w:val="ListParagraph"/>
              <w:ind w:left="0"/>
              <w:rPr>
                <w:rFonts w:ascii="Arial" w:hAnsi="Arial" w:cs="Arial"/>
              </w:rPr>
            </w:pPr>
          </w:p>
          <w:p w:rsidR="0042490E" w:rsidRDefault="000251AF" w:rsidP="0042490E">
            <w:pPr>
              <w:pStyle w:val="xmsolistparagraph"/>
              <w:numPr>
                <w:ilvl w:val="1"/>
                <w:numId w:val="2"/>
              </w:numPr>
              <w:shd w:val="clear" w:color="auto" w:fill="FFFFFF"/>
              <w:spacing w:before="0" w:beforeAutospacing="0" w:after="0" w:afterAutospacing="0"/>
              <w:ind w:left="720"/>
              <w:jc w:val="both"/>
              <w:rPr>
                <w:rFonts w:ascii="Arial" w:hAnsi="Arial" w:cs="Arial"/>
                <w:sz w:val="22"/>
                <w:szCs w:val="22"/>
              </w:rPr>
            </w:pPr>
            <w:r>
              <w:rPr>
                <w:rFonts w:ascii="Arial" w:hAnsi="Arial" w:cs="Arial"/>
                <w:sz w:val="22"/>
                <w:szCs w:val="22"/>
              </w:rPr>
              <w:t>SLMA will not be responsible for any dispute amongst the borrower and the lenders.</w:t>
            </w:r>
          </w:p>
          <w:p w:rsidR="0042490E" w:rsidRPr="0042490E" w:rsidRDefault="0042490E" w:rsidP="0042490E">
            <w:pPr>
              <w:pStyle w:val="xmsolistparagraph"/>
              <w:shd w:val="clear" w:color="auto" w:fill="FFFFFF"/>
              <w:spacing w:before="0" w:beforeAutospacing="0" w:after="0" w:afterAutospacing="0"/>
              <w:jc w:val="both"/>
              <w:rPr>
                <w:rFonts w:ascii="Arial" w:hAnsi="Arial" w:cs="Arial"/>
                <w:sz w:val="22"/>
                <w:szCs w:val="22"/>
              </w:rPr>
            </w:pPr>
          </w:p>
          <w:p w:rsidR="000251AF" w:rsidRPr="00C16A75" w:rsidRDefault="000251AF" w:rsidP="000251AF">
            <w:pPr>
              <w:pStyle w:val="xmsolistparagraph"/>
              <w:numPr>
                <w:ilvl w:val="0"/>
                <w:numId w:val="2"/>
              </w:numPr>
              <w:shd w:val="clear" w:color="auto" w:fill="FFFFFF"/>
              <w:spacing w:before="0" w:beforeAutospacing="0" w:after="0" w:afterAutospacing="0"/>
              <w:jc w:val="both"/>
              <w:rPr>
                <w:rFonts w:ascii="Arial" w:hAnsi="Arial" w:cs="Arial"/>
                <w:sz w:val="22"/>
                <w:szCs w:val="22"/>
              </w:rPr>
            </w:pPr>
            <w:r w:rsidRPr="002041E8">
              <w:rPr>
                <w:rFonts w:ascii="Arial" w:hAnsi="Arial" w:cs="Arial"/>
                <w:sz w:val="22"/>
                <w:szCs w:val="22"/>
              </w:rPr>
              <w:t xml:space="preserve">All transactions would be in accordance with Master Direction – Reserve Bank of India (Transfer of Loan Exposures) Directions, 2021 (RBI Ref no. RBI/DOR/2021-22/86, DOR.STR.REC.51/21.04.048./2021-22 </w:t>
            </w:r>
            <w:proofErr w:type="spellStart"/>
            <w:r w:rsidRPr="002041E8">
              <w:rPr>
                <w:rFonts w:ascii="Arial" w:hAnsi="Arial" w:cs="Arial"/>
                <w:sz w:val="22"/>
                <w:szCs w:val="22"/>
              </w:rPr>
              <w:t>dtd</w:t>
            </w:r>
            <w:proofErr w:type="spellEnd"/>
            <w:r w:rsidRPr="002041E8">
              <w:rPr>
                <w:rFonts w:ascii="Arial" w:hAnsi="Arial" w:cs="Arial"/>
                <w:sz w:val="22"/>
                <w:szCs w:val="22"/>
              </w:rPr>
              <w:t>. September 4, 2021). The responsibility of complying with these directions would be of both Selling bank and incoming lender</w:t>
            </w:r>
          </w:p>
        </w:tc>
      </w:tr>
    </w:tbl>
    <w:p w:rsidR="00781B61" w:rsidRDefault="00781B61" w:rsidP="0042490E">
      <w:bookmarkStart w:id="0" w:name="_GoBack"/>
      <w:bookmarkEnd w:id="0"/>
    </w:p>
    <w:sectPr w:rsidR="00781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F702E"/>
    <w:multiLevelType w:val="hybridMultilevel"/>
    <w:tmpl w:val="C1186866"/>
    <w:lvl w:ilvl="0" w:tplc="40090001">
      <w:start w:val="1"/>
      <w:numFmt w:val="bullet"/>
      <w:lvlText w:val=""/>
      <w:lvlJc w:val="left"/>
      <w:pPr>
        <w:ind w:left="720" w:hanging="360"/>
      </w:pPr>
      <w:rPr>
        <w:rFonts w:ascii="Symbol" w:hAnsi="Symbol" w:hint="default"/>
      </w:rPr>
    </w:lvl>
    <w:lvl w:ilvl="1" w:tplc="4009000B">
      <w:start w:val="1"/>
      <w:numFmt w:val="bullet"/>
      <w:lvlText w:val=""/>
      <w:lvlJc w:val="left"/>
      <w:pPr>
        <w:ind w:left="1440" w:hanging="360"/>
      </w:pPr>
      <w:rPr>
        <w:rFonts w:ascii="Wingdings" w:hAnsi="Wingdings"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42A10E1"/>
    <w:multiLevelType w:val="hybridMultilevel"/>
    <w:tmpl w:val="46D6FCEE"/>
    <w:lvl w:ilvl="0" w:tplc="40090001">
      <w:start w:val="1"/>
      <w:numFmt w:val="bullet"/>
      <w:lvlText w:val=""/>
      <w:lvlJc w:val="left"/>
      <w:pPr>
        <w:ind w:left="720" w:hanging="360"/>
      </w:pPr>
      <w:rPr>
        <w:rFonts w:ascii="Symbol" w:hAnsi="Symbol"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AF"/>
    <w:rsid w:val="000251AF"/>
    <w:rsid w:val="0042490E"/>
    <w:rsid w:val="00781B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51AF"/>
    <w:pPr>
      <w:ind w:left="720"/>
      <w:contextualSpacing/>
    </w:pPr>
  </w:style>
  <w:style w:type="paragraph" w:customStyle="1" w:styleId="xmsolistparagraph">
    <w:name w:val="x_msolistparagraph"/>
    <w:basedOn w:val="Normal"/>
    <w:rsid w:val="000251A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51AF"/>
    <w:pPr>
      <w:ind w:left="720"/>
      <w:contextualSpacing/>
    </w:pPr>
  </w:style>
  <w:style w:type="paragraph" w:customStyle="1" w:styleId="xmsolistparagraph">
    <w:name w:val="x_msolistparagraph"/>
    <w:basedOn w:val="Normal"/>
    <w:rsid w:val="000251A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4128</Characters>
  <Application>Microsoft Office Word</Application>
  <DocSecurity>0</DocSecurity>
  <Lines>34</Lines>
  <Paragraphs>9</Paragraphs>
  <ScaleCrop>false</ScaleCrop>
  <Company>Wipro Limited</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DoorStep Banking</dc:creator>
  <cp:lastModifiedBy>DoorStep Banking</cp:lastModifiedBy>
  <cp:revision>2</cp:revision>
  <dcterms:created xsi:type="dcterms:W3CDTF">2021-10-08T10:59:00Z</dcterms:created>
  <dcterms:modified xsi:type="dcterms:W3CDTF">2021-10-08T11:00:00Z</dcterms:modified>
</cp:coreProperties>
</file>